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2F" w:rsidRDefault="00A7412F" w:rsidP="00A741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входного регионального мониторинга качества </w:t>
      </w:r>
      <w:proofErr w:type="gramStart"/>
      <w:r>
        <w:rPr>
          <w:b/>
          <w:bCs/>
          <w:sz w:val="28"/>
          <w:szCs w:val="28"/>
        </w:rPr>
        <w:t>знаний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обучающихся (октябрь 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года)</w:t>
      </w:r>
    </w:p>
    <w:p w:rsidR="00481E2E" w:rsidRDefault="00481E2E" w:rsidP="00A7412F">
      <w:pPr>
        <w:pStyle w:val="Standard"/>
        <w:jc w:val="center"/>
        <w:rPr>
          <w:b/>
          <w:bCs/>
          <w:sz w:val="28"/>
          <w:szCs w:val="28"/>
        </w:rPr>
      </w:pPr>
    </w:p>
    <w:p w:rsidR="00481E2E" w:rsidRPr="00481E2E" w:rsidRDefault="00A7412F" w:rsidP="00481E2E">
      <w:pPr>
        <w:pStyle w:val="Standard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color w:val="000000"/>
          <w:sz w:val="27"/>
          <w:szCs w:val="27"/>
        </w:rPr>
        <w:t>В соответствии с распоряжениями Департамента общего образования Томской области от 18.09.2018 № 805-р «О проведении мониторинга качества образования в образовательных организациях системы общего обр</w:t>
      </w:r>
      <w:r w:rsidR="00481E2E">
        <w:rPr>
          <w:color w:val="000000"/>
          <w:sz w:val="27"/>
          <w:szCs w:val="27"/>
        </w:rPr>
        <w:t xml:space="preserve">азования Томской области в 2018 – </w:t>
      </w:r>
      <w:r>
        <w:rPr>
          <w:color w:val="000000"/>
          <w:sz w:val="27"/>
          <w:szCs w:val="27"/>
        </w:rPr>
        <w:t xml:space="preserve">2019 учебном году», приказом Управления образования Администрации Зырянского района от 24.09.2018 № 377 «Об участии общеобразовательных организаций Зырянского района в региональном мониторинге качества образования», </w:t>
      </w:r>
      <w:r w:rsidRPr="00481E2E">
        <w:rPr>
          <w:sz w:val="28"/>
          <w:szCs w:val="28"/>
        </w:rPr>
        <w:t>годового календарного учеб</w:t>
      </w:r>
      <w:r w:rsidR="00481E2E">
        <w:rPr>
          <w:sz w:val="28"/>
          <w:szCs w:val="28"/>
        </w:rPr>
        <w:t>ного графика МБОУ «ЗСОШ» на 2018 – 2019 учебный год</w:t>
      </w:r>
      <w:r w:rsidRPr="00481E2E">
        <w:rPr>
          <w:sz w:val="28"/>
          <w:szCs w:val="28"/>
        </w:rPr>
        <w:t>, приказа ОУ № 3</w:t>
      </w:r>
      <w:r w:rsidR="00481E2E">
        <w:rPr>
          <w:sz w:val="28"/>
          <w:szCs w:val="28"/>
        </w:rPr>
        <w:t>01 от 21.09.2018 «О проведении входных (диагностических)контрольных работ в 5 – 11.</w:t>
      </w:r>
    </w:p>
    <w:p w:rsidR="00481E2E" w:rsidRPr="00481E2E" w:rsidRDefault="00A7412F" w:rsidP="00481E2E">
      <w:pPr>
        <w:pStyle w:val="a3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1E2E">
        <w:rPr>
          <w:b/>
          <w:bCs/>
          <w:sz w:val="28"/>
          <w:szCs w:val="28"/>
        </w:rPr>
        <w:t xml:space="preserve">Цель: </w:t>
      </w:r>
      <w:r w:rsidR="00481E2E" w:rsidRPr="00481E2E">
        <w:rPr>
          <w:rFonts w:eastAsia="Times New Roman" w:cs="Times New Roman"/>
          <w:kern w:val="0"/>
          <w:sz w:val="28"/>
          <w:szCs w:val="28"/>
          <w:lang w:eastAsia="ru-RU" w:bidi="ar-SA"/>
        </w:rPr>
        <w:t>уровень качества остаточных знаний,</w:t>
      </w:r>
      <w:r w:rsidR="00481E2E" w:rsidRPr="00481E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обучающихся на начало учебного года.</w:t>
      </w:r>
    </w:p>
    <w:p w:rsidR="00481E2E" w:rsidRPr="00481E2E" w:rsidRDefault="00A7412F" w:rsidP="00481E2E">
      <w:pPr>
        <w:pStyle w:val="Standard"/>
        <w:ind w:firstLine="708"/>
        <w:jc w:val="both"/>
        <w:rPr>
          <w:sz w:val="28"/>
          <w:szCs w:val="28"/>
        </w:rPr>
      </w:pPr>
      <w:r w:rsidRPr="00481E2E">
        <w:rPr>
          <w:b/>
          <w:bCs/>
          <w:sz w:val="28"/>
          <w:szCs w:val="28"/>
        </w:rPr>
        <w:t>Проверку проводили:</w:t>
      </w:r>
      <w:r w:rsidRPr="00481E2E">
        <w:rPr>
          <w:sz w:val="28"/>
          <w:szCs w:val="28"/>
        </w:rPr>
        <w:t xml:space="preserve"> </w:t>
      </w:r>
      <w:r w:rsidR="00481E2E" w:rsidRPr="00481E2E">
        <w:rPr>
          <w:sz w:val="28"/>
          <w:szCs w:val="28"/>
        </w:rPr>
        <w:t xml:space="preserve">заместитель директора по УР </w:t>
      </w:r>
      <w:proofErr w:type="spellStart"/>
      <w:r w:rsidR="00481E2E" w:rsidRPr="00481E2E">
        <w:rPr>
          <w:sz w:val="28"/>
          <w:szCs w:val="28"/>
        </w:rPr>
        <w:t>Федощенко</w:t>
      </w:r>
      <w:proofErr w:type="spellEnd"/>
      <w:r w:rsidR="00481E2E" w:rsidRPr="00481E2E">
        <w:rPr>
          <w:sz w:val="28"/>
          <w:szCs w:val="28"/>
        </w:rPr>
        <w:t xml:space="preserve"> Е.А, заместитель директора по МР Фоменко А.И., педагог-психолог Васильева А.И., учитель ОБЖ Алексеев А.А., учитель обществознания </w:t>
      </w:r>
      <w:proofErr w:type="spellStart"/>
      <w:r w:rsidR="00481E2E" w:rsidRPr="00481E2E">
        <w:rPr>
          <w:sz w:val="28"/>
          <w:szCs w:val="28"/>
        </w:rPr>
        <w:t>Моторина</w:t>
      </w:r>
      <w:proofErr w:type="spellEnd"/>
      <w:r w:rsidR="00481E2E" w:rsidRPr="00481E2E">
        <w:rPr>
          <w:sz w:val="28"/>
          <w:szCs w:val="28"/>
        </w:rPr>
        <w:t xml:space="preserve"> А.В., учитель технологии </w:t>
      </w:r>
      <w:proofErr w:type="spellStart"/>
      <w:r w:rsidR="00481E2E" w:rsidRPr="00481E2E">
        <w:rPr>
          <w:sz w:val="28"/>
          <w:szCs w:val="28"/>
        </w:rPr>
        <w:t>Белоножкина</w:t>
      </w:r>
      <w:proofErr w:type="spellEnd"/>
      <w:r w:rsidR="00481E2E" w:rsidRPr="00481E2E">
        <w:rPr>
          <w:sz w:val="28"/>
          <w:szCs w:val="28"/>
        </w:rPr>
        <w:t xml:space="preserve"> Е.Л., учитель русского языка и литературы Скобля Т.А., учитель </w:t>
      </w:r>
      <w:proofErr w:type="spellStart"/>
      <w:r w:rsidR="00481E2E" w:rsidRPr="00481E2E">
        <w:rPr>
          <w:sz w:val="28"/>
          <w:szCs w:val="28"/>
        </w:rPr>
        <w:t>иностанного</w:t>
      </w:r>
      <w:proofErr w:type="spellEnd"/>
      <w:r w:rsidR="00481E2E" w:rsidRPr="00481E2E">
        <w:rPr>
          <w:sz w:val="28"/>
          <w:szCs w:val="28"/>
        </w:rPr>
        <w:t xml:space="preserve"> языка Иванова О.Л., учитель математики </w:t>
      </w:r>
      <w:proofErr w:type="spellStart"/>
      <w:r w:rsidR="00481E2E" w:rsidRPr="00481E2E">
        <w:rPr>
          <w:sz w:val="28"/>
          <w:szCs w:val="28"/>
        </w:rPr>
        <w:t>Сайнакова</w:t>
      </w:r>
      <w:proofErr w:type="spellEnd"/>
      <w:r w:rsidR="00481E2E" w:rsidRPr="00481E2E">
        <w:rPr>
          <w:sz w:val="28"/>
          <w:szCs w:val="28"/>
        </w:rPr>
        <w:t xml:space="preserve"> Р.С., учитель истории и обществознания </w:t>
      </w:r>
      <w:proofErr w:type="spellStart"/>
      <w:r w:rsidR="00481E2E" w:rsidRPr="00481E2E">
        <w:rPr>
          <w:sz w:val="28"/>
          <w:szCs w:val="28"/>
        </w:rPr>
        <w:t>Вожова</w:t>
      </w:r>
      <w:proofErr w:type="spellEnd"/>
      <w:r w:rsidR="00481E2E" w:rsidRPr="00481E2E">
        <w:rPr>
          <w:sz w:val="28"/>
          <w:szCs w:val="28"/>
        </w:rPr>
        <w:t xml:space="preserve"> Н.В., учитель технологии Белозерова Т.Е.</w:t>
      </w:r>
    </w:p>
    <w:p w:rsidR="00A7412F" w:rsidRPr="00FC7CA4" w:rsidRDefault="00A7412F" w:rsidP="00FC7CA4">
      <w:pPr>
        <w:pStyle w:val="Standard"/>
        <w:ind w:firstLine="708"/>
        <w:jc w:val="both"/>
        <w:rPr>
          <w:sz w:val="28"/>
          <w:szCs w:val="28"/>
        </w:rPr>
      </w:pPr>
      <w:r w:rsidRPr="00FC7CA4">
        <w:rPr>
          <w:sz w:val="28"/>
          <w:szCs w:val="28"/>
        </w:rPr>
        <w:t>Обработку результатов диагностических работ по математике и русскому языку в 5, 10 классах проводил ЦОКО ТОИПКРО.</w:t>
      </w:r>
    </w:p>
    <w:p w:rsidR="00A7412F" w:rsidRPr="00FC7CA4" w:rsidRDefault="00A7412F" w:rsidP="00FC7CA4">
      <w:pPr>
        <w:pStyle w:val="Standard"/>
        <w:ind w:firstLine="708"/>
        <w:jc w:val="both"/>
        <w:rPr>
          <w:sz w:val="28"/>
          <w:szCs w:val="28"/>
        </w:rPr>
      </w:pPr>
      <w:r w:rsidRPr="00FC7CA4">
        <w:rPr>
          <w:sz w:val="28"/>
          <w:szCs w:val="28"/>
        </w:rPr>
        <w:t>За проведением диагностических работ в 5, 10 классах наблюдали общественные наблюдатели из числа родительской общественности.</w:t>
      </w:r>
    </w:p>
    <w:p w:rsidR="00A7412F" w:rsidRPr="00FC7CA4" w:rsidRDefault="00A7412F" w:rsidP="00FC7CA4">
      <w:pPr>
        <w:pStyle w:val="Standard"/>
        <w:ind w:firstLine="708"/>
        <w:jc w:val="both"/>
        <w:rPr>
          <w:b/>
          <w:bCs/>
          <w:sz w:val="28"/>
          <w:szCs w:val="28"/>
        </w:rPr>
      </w:pPr>
      <w:r w:rsidRPr="00FC7CA4">
        <w:rPr>
          <w:b/>
          <w:bCs/>
          <w:sz w:val="28"/>
          <w:szCs w:val="28"/>
        </w:rPr>
        <w:t xml:space="preserve">Сроки проведения входного контроля: </w:t>
      </w:r>
      <w:r w:rsidR="00FC7CA4">
        <w:rPr>
          <w:sz w:val="28"/>
          <w:szCs w:val="28"/>
        </w:rPr>
        <w:t>с 08.10.2018 по 12.10.2018г.</w:t>
      </w:r>
      <w:r w:rsidRPr="00FC7CA4">
        <w:rPr>
          <w:sz w:val="28"/>
          <w:szCs w:val="28"/>
        </w:rPr>
        <w:t>, согласно утвержденному графику.</w:t>
      </w:r>
    </w:p>
    <w:p w:rsidR="00A7412F" w:rsidRDefault="00A7412F" w:rsidP="00A7412F">
      <w:pPr>
        <w:pStyle w:val="Standard"/>
        <w:jc w:val="center"/>
        <w:rPr>
          <w:b/>
          <w:bCs/>
        </w:rPr>
      </w:pPr>
    </w:p>
    <w:p w:rsidR="005C00C4" w:rsidRDefault="00CD7673" w:rsidP="00A741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контроля</w:t>
      </w:r>
      <w:r w:rsidR="00A7412F">
        <w:rPr>
          <w:b/>
          <w:bCs/>
          <w:sz w:val="28"/>
          <w:szCs w:val="28"/>
        </w:rPr>
        <w:t xml:space="preserve">:  </w:t>
      </w:r>
    </w:p>
    <w:p w:rsidR="005C00C4" w:rsidRPr="005C00C4" w:rsidRDefault="00A7412F" w:rsidP="005C00C4">
      <w:pPr>
        <w:ind w:left="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b/>
          <w:bCs/>
          <w:sz w:val="28"/>
          <w:szCs w:val="28"/>
        </w:rPr>
        <w:t xml:space="preserve"> </w:t>
      </w:r>
      <w:r w:rsidR="005C00C4" w:rsidRPr="005C00C4">
        <w:rPr>
          <w:rFonts w:eastAsia="Times New Roman" w:cs="Times New Roman"/>
          <w:b/>
          <w:bCs/>
          <w:kern w:val="0"/>
          <w:lang w:eastAsia="ru-RU" w:bidi="ar-SA"/>
        </w:rPr>
        <w:t>МАТЕМАТИКА</w:t>
      </w:r>
    </w:p>
    <w:tbl>
      <w:tblPr>
        <w:tblStyle w:val="1"/>
        <w:tblW w:w="1019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992"/>
        <w:gridCol w:w="1418"/>
        <w:gridCol w:w="1276"/>
        <w:gridCol w:w="992"/>
        <w:gridCol w:w="992"/>
        <w:gridCol w:w="1128"/>
      </w:tblGrid>
      <w:tr w:rsidR="005C00C4" w:rsidRPr="005C00C4" w:rsidTr="00476A61">
        <w:tc>
          <w:tcPr>
            <w:tcW w:w="1696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Писало</w:t>
            </w:r>
          </w:p>
        </w:tc>
        <w:tc>
          <w:tcPr>
            <w:tcW w:w="5806" w:type="dxa"/>
            <w:gridSpan w:val="5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Результаты</w:t>
            </w:r>
          </w:p>
        </w:tc>
      </w:tr>
      <w:tr w:rsidR="005C00C4" w:rsidRPr="005C00C4" w:rsidTr="00476A61">
        <w:tc>
          <w:tcPr>
            <w:tcW w:w="1696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Недостаточный 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Пониженный 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Базовый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Повышенный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Высокий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Замараева Е.П.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5а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26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25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7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Замараева Е.П.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5б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14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7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Замараева Е.П.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5в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25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17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Замараева Е.П.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5г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24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23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9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2547" w:type="dxa"/>
            <w:gridSpan w:val="2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По параллели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96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79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28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28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12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Соколова Н.А.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5ц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</w:tr>
    </w:tbl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</w:p>
    <w:tbl>
      <w:tblPr>
        <w:tblStyle w:val="1"/>
        <w:tblW w:w="101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2"/>
        <w:gridCol w:w="2714"/>
        <w:gridCol w:w="3118"/>
        <w:gridCol w:w="2948"/>
      </w:tblGrid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классу октябрь 2018</w:t>
            </w:r>
          </w:p>
        </w:tc>
        <w:tc>
          <w:tcPr>
            <w:tcW w:w="31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муниципалитету октябрь 2018</w:t>
            </w:r>
          </w:p>
        </w:tc>
        <w:tc>
          <w:tcPr>
            <w:tcW w:w="294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региону октябрь 2018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5а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12,6</w:t>
            </w:r>
          </w:p>
        </w:tc>
        <w:tc>
          <w:tcPr>
            <w:tcW w:w="3118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10,92</w:t>
            </w:r>
          </w:p>
        </w:tc>
        <w:tc>
          <w:tcPr>
            <w:tcW w:w="2948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15,32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5б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9,79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4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lastRenderedPageBreak/>
              <w:t>5в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12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4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5г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11,48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4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5ц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6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4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Данные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таблиц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позволяют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сделать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следующий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вывод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самые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низкие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результаты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5ц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где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средний балл 6 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и 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5б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где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средний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балл составил 9,79.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5а, 5в, 5г классы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базовый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уровень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выше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среднего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муниципалитету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.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один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превысил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средний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региону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.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Наблюдается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общая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тенденция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снижения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среднего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муниципалитету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и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региону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.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Это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может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быть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связано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с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периодом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адаптации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классников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а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также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длительными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летними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каникулами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.</w:t>
      </w:r>
    </w:p>
    <w:p w:rsidR="005C00C4" w:rsidRPr="005C00C4" w:rsidRDefault="005C00C4" w:rsidP="005C00C4">
      <w:pPr>
        <w:autoSpaceDN/>
        <w:spacing w:line="100" w:lineRule="atLeast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Более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детальный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анализ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решаемости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заданий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наибольшие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затруднения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вызвали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задания на выполнения арифметических действий, </w:t>
      </w:r>
      <w:proofErr w:type="spellStart"/>
      <w:r w:rsidRPr="005C00C4">
        <w:rPr>
          <w:rFonts w:eastAsia="Andale Sans UI" w:cs="Tahoma"/>
          <w:color w:val="00000A"/>
          <w:kern w:val="0"/>
          <w:lang w:eastAsia="ja-JP" w:bidi="fa-IR"/>
        </w:rPr>
        <w:t>текствовые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задачи, пространственные отношения, геометрические фигуры, геометрические величины.</w:t>
      </w:r>
    </w:p>
    <w:tbl>
      <w:tblPr>
        <w:tblStyle w:val="1"/>
        <w:tblpPr w:leftFromText="180" w:rightFromText="180" w:vertAnchor="text" w:horzAnchor="margin" w:tblpX="137" w:tblpY="5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0"/>
        <w:gridCol w:w="992"/>
        <w:gridCol w:w="1276"/>
        <w:gridCol w:w="1559"/>
        <w:gridCol w:w="1276"/>
        <w:gridCol w:w="1701"/>
      </w:tblGrid>
      <w:tr w:rsidR="005C00C4" w:rsidRPr="005C00C4" w:rsidTr="00476A61">
        <w:tc>
          <w:tcPr>
            <w:tcW w:w="1559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Писало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Результаты</w:t>
            </w:r>
          </w:p>
        </w:tc>
      </w:tr>
      <w:tr w:rsidR="005C00C4" w:rsidRPr="005C00C4" w:rsidTr="00476A61">
        <w:tc>
          <w:tcPr>
            <w:tcW w:w="1559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Результаты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Обученность</w:t>
            </w:r>
            <w:proofErr w:type="spellEnd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Качество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Уровень </w:t>
            </w:r>
            <w:proofErr w:type="spellStart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обученности</w:t>
            </w:r>
            <w:proofErr w:type="spellEnd"/>
          </w:p>
        </w:tc>
      </w:tr>
      <w:tr w:rsidR="005C00C4" w:rsidRPr="005C00C4" w:rsidTr="00476A61">
        <w:tc>
          <w:tcPr>
            <w:tcW w:w="1559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Федощенко</w:t>
            </w:r>
            <w:proofErr w:type="spellEnd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Е.А.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10а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«4»-7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«3»-10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Оптимальный</w:t>
            </w:r>
          </w:p>
        </w:tc>
      </w:tr>
      <w:tr w:rsidR="005C00C4" w:rsidRPr="005C00C4" w:rsidTr="00476A61">
        <w:tc>
          <w:tcPr>
            <w:tcW w:w="1559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10б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«3»-10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55,56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Критический</w:t>
            </w:r>
          </w:p>
        </w:tc>
      </w:tr>
      <w:tr w:rsidR="005C00C4" w:rsidRPr="005C00C4" w:rsidTr="00476A61">
        <w:tc>
          <w:tcPr>
            <w:tcW w:w="2410" w:type="dxa"/>
            <w:gridSpan w:val="2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 xml:space="preserve">По параллели 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41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«4»-7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«3»-20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lang w:eastAsia="en-US" w:bidi="ar-SA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Допустимый</w:t>
            </w:r>
          </w:p>
        </w:tc>
      </w:tr>
    </w:tbl>
    <w:p w:rsidR="005C00C4" w:rsidRPr="005C00C4" w:rsidRDefault="005C00C4" w:rsidP="005C00C4">
      <w:pPr>
        <w:widowControl/>
        <w:suppressAutoHyphens w:val="0"/>
        <w:autoSpaceDN/>
        <w:ind w:left="142"/>
        <w:jc w:val="right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Style w:val="1"/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2"/>
        <w:gridCol w:w="2714"/>
        <w:gridCol w:w="3118"/>
        <w:gridCol w:w="2835"/>
      </w:tblGrid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классу октябрь 2018</w:t>
            </w:r>
          </w:p>
        </w:tc>
        <w:tc>
          <w:tcPr>
            <w:tcW w:w="31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муниципалитету октябрь 2018</w:t>
            </w:r>
          </w:p>
        </w:tc>
        <w:tc>
          <w:tcPr>
            <w:tcW w:w="2835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региону октябрь 2018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10а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15,25</w:t>
            </w:r>
          </w:p>
        </w:tc>
        <w:tc>
          <w:tcPr>
            <w:tcW w:w="3118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13,08</w:t>
            </w:r>
          </w:p>
        </w:tc>
        <w:tc>
          <w:tcPr>
            <w:tcW w:w="2835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16,04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10б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10,56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основании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данных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таблицы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можно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сделать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вывод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10б (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СГП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)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низкие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результаты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ниже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муниципальных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и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региональных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.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Только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55 %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справились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с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базой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61 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%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выполнили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одного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задания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2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части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.</w:t>
      </w:r>
    </w:p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  <w:t xml:space="preserve">10а (ИТП+ХБП)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оптимальные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результаты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обученности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с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базовой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частью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справились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17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с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заданиями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повышенной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сложности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справились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15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: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набрали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2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</w:t>
      </w:r>
      <w:proofErr w:type="spellStart"/>
      <w:proofErr w:type="gram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 -</w:t>
      </w:r>
      <w:proofErr w:type="gram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3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;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4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—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5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;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6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баллов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—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4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;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8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баллов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—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3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обучающихся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максимального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количества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баллов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(12)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набрал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никто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.</w:t>
      </w:r>
    </w:p>
    <w:p w:rsidR="005C00C4" w:rsidRPr="005C00C4" w:rsidRDefault="005C00C4" w:rsidP="005C00C4">
      <w:pPr>
        <w:widowControl/>
        <w:suppressAutoHyphens w:val="0"/>
        <w:autoSpaceDN/>
        <w:ind w:left="142"/>
        <w:jc w:val="both"/>
        <w:textAlignment w:val="auto"/>
        <w:rPr>
          <w:rFonts w:eastAsia="Times New Roman" w:cs="Times New Roman"/>
          <w:b/>
          <w:bCs/>
          <w:kern w:val="0"/>
          <w:lang w:val="de-DE" w:eastAsia="ru-RU" w:bidi="ar-SA"/>
        </w:rPr>
      </w:pPr>
    </w:p>
    <w:p w:rsidR="005C00C4" w:rsidRPr="005C00C4" w:rsidRDefault="005C00C4" w:rsidP="005C00C4">
      <w:pPr>
        <w:widowControl/>
        <w:suppressAutoHyphens w:val="0"/>
        <w:autoSpaceDN/>
        <w:ind w:left="142"/>
        <w:jc w:val="both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5C00C4">
        <w:rPr>
          <w:rFonts w:eastAsia="Times New Roman" w:cs="Times New Roman"/>
          <w:b/>
          <w:bCs/>
          <w:kern w:val="0"/>
          <w:lang w:eastAsia="ru-RU" w:bidi="ar-SA"/>
        </w:rPr>
        <w:t>РУССКИЙ ЯЗЫК</w:t>
      </w:r>
    </w:p>
    <w:tbl>
      <w:tblPr>
        <w:tblStyle w:val="2"/>
        <w:tblW w:w="1019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992"/>
        <w:gridCol w:w="1418"/>
        <w:gridCol w:w="1276"/>
        <w:gridCol w:w="992"/>
        <w:gridCol w:w="992"/>
        <w:gridCol w:w="1128"/>
      </w:tblGrid>
      <w:tr w:rsidR="005C00C4" w:rsidRPr="005C00C4" w:rsidTr="00476A61">
        <w:tc>
          <w:tcPr>
            <w:tcW w:w="1696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Писало</w:t>
            </w:r>
          </w:p>
        </w:tc>
        <w:tc>
          <w:tcPr>
            <w:tcW w:w="5806" w:type="dxa"/>
            <w:gridSpan w:val="5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Результаты</w:t>
            </w:r>
          </w:p>
        </w:tc>
      </w:tr>
      <w:tr w:rsidR="005C00C4" w:rsidRPr="005C00C4" w:rsidTr="00476A61">
        <w:tc>
          <w:tcPr>
            <w:tcW w:w="1696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Недостаточный 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Пониженный 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Базовый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Повышенный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Высокий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Бирюкова Л.В.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5а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26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26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9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9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Токарева Н.Г.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5б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15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10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lastRenderedPageBreak/>
              <w:t>Бельдинская</w:t>
            </w:r>
            <w:proofErr w:type="spellEnd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Н.В.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5в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25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18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12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Титкова И.В.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5г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24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10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6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</w:t>
            </w:r>
          </w:p>
        </w:tc>
      </w:tr>
      <w:tr w:rsidR="005C00C4" w:rsidRPr="005C00C4" w:rsidTr="00476A61">
        <w:tc>
          <w:tcPr>
            <w:tcW w:w="2547" w:type="dxa"/>
            <w:gridSpan w:val="2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По параллели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96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79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41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12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4</w:t>
            </w:r>
          </w:p>
        </w:tc>
      </w:tr>
      <w:tr w:rsidR="005C00C4" w:rsidRPr="005C00C4" w:rsidTr="00476A61">
        <w:tc>
          <w:tcPr>
            <w:tcW w:w="169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Козадаева</w:t>
            </w:r>
            <w:proofErr w:type="spellEnd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В. М.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5ц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  <w:tc>
          <w:tcPr>
            <w:tcW w:w="112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0</w:t>
            </w:r>
          </w:p>
        </w:tc>
      </w:tr>
    </w:tbl>
    <w:p w:rsidR="005C00C4" w:rsidRPr="005C00C4" w:rsidRDefault="005C00C4" w:rsidP="005C00C4">
      <w:pPr>
        <w:widowControl/>
        <w:suppressAutoHyphens w:val="0"/>
        <w:autoSpaceDN/>
        <w:ind w:left="142"/>
        <w:jc w:val="right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Style w:val="2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2"/>
        <w:gridCol w:w="2714"/>
        <w:gridCol w:w="3118"/>
        <w:gridCol w:w="2977"/>
      </w:tblGrid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классу октябрь 2018</w:t>
            </w:r>
          </w:p>
        </w:tc>
        <w:tc>
          <w:tcPr>
            <w:tcW w:w="31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муниципалитету октябрь 2018</w:t>
            </w:r>
          </w:p>
        </w:tc>
        <w:tc>
          <w:tcPr>
            <w:tcW w:w="2977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региону октябрь 2018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5а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17,23</w:t>
            </w:r>
          </w:p>
        </w:tc>
        <w:tc>
          <w:tcPr>
            <w:tcW w:w="3118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12,96</w:t>
            </w:r>
          </w:p>
        </w:tc>
        <w:tc>
          <w:tcPr>
            <w:tcW w:w="2977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16,71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5б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11,13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5в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14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5г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11,65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5ц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5,33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Данные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таблиц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позволяют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сделать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следующий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вывод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, 100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%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недостаточный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уровень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обученности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5ц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66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%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недостаточный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уровень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обученности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обучающиеся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5б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и 5в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класса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, 50% недостаточный уровень получили обучающиеся 5г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.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Выше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среднего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балла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муниципалитету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и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и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5а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и 5в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.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 Выше региона справились обучающиеся 5а.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В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целом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наблюдается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отсутствие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динамики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уровням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обученности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классам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.</w:t>
      </w:r>
    </w:p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Все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задания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диагностической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работы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были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составлены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проверку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остаточных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знаний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курс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начальной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школы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.</w:t>
      </w:r>
    </w:p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val="de-DE" w:eastAsia="ja-JP" w:bidi="fa-IR"/>
        </w:rPr>
      </w:pP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Низкий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процент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решаемости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показали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задания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на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темы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: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Различие букв и звуков;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Родственные слова и формы слова;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Нахождение значения слова по тексту;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Определение грамматических признаков имени существительного;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Определение грамматических признаков имени прилагательных;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Определение грамматических признаков глаголов;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Различать предложение, словосочетание и слово;</w:t>
      </w:r>
    </w:p>
    <w:p w:rsidR="005C00C4" w:rsidRPr="005C00C4" w:rsidRDefault="005C00C4" w:rsidP="005C00C4">
      <w:pPr>
        <w:widowControl/>
        <w:numPr>
          <w:ilvl w:val="0"/>
          <w:numId w:val="1"/>
        </w:numPr>
        <w:suppressAutoHyphens w:val="0"/>
        <w:autoSpaceDN/>
        <w:spacing w:line="100" w:lineRule="atLeast"/>
        <w:jc w:val="both"/>
        <w:textAlignment w:val="auto"/>
        <w:rPr>
          <w:rFonts w:eastAsia="Andale Sans UI" w:cs="Tahoma"/>
          <w:color w:val="00000A"/>
          <w:kern w:val="0"/>
          <w:lang w:val="de-DE" w:eastAsia="ja-JP" w:bidi="fa-IR"/>
        </w:rPr>
      </w:pPr>
      <w:r w:rsidRPr="005C00C4">
        <w:rPr>
          <w:rFonts w:eastAsia="Andale Sans UI" w:cs="Tahoma"/>
          <w:color w:val="00000A"/>
          <w:kern w:val="0"/>
          <w:lang w:eastAsia="ja-JP" w:bidi="fa-IR"/>
        </w:rPr>
        <w:t>Применять правила правописания.</w:t>
      </w:r>
    </w:p>
    <w:p w:rsidR="005C00C4" w:rsidRPr="005C00C4" w:rsidRDefault="005C00C4" w:rsidP="005C00C4">
      <w:pPr>
        <w:widowControl/>
        <w:suppressAutoHyphens w:val="0"/>
        <w:autoSpaceDN/>
        <w:ind w:left="142"/>
        <w:jc w:val="both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Style w:val="2"/>
        <w:tblpPr w:leftFromText="180" w:rightFromText="180" w:vertAnchor="text" w:horzAnchor="margin" w:tblpX="137" w:tblpY="5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0"/>
        <w:gridCol w:w="992"/>
        <w:gridCol w:w="1276"/>
        <w:gridCol w:w="1559"/>
        <w:gridCol w:w="1276"/>
        <w:gridCol w:w="1701"/>
      </w:tblGrid>
      <w:tr w:rsidR="005C00C4" w:rsidRPr="005C00C4" w:rsidTr="00476A61">
        <w:tc>
          <w:tcPr>
            <w:tcW w:w="1559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Писало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Результаты</w:t>
            </w:r>
          </w:p>
        </w:tc>
      </w:tr>
      <w:tr w:rsidR="005C00C4" w:rsidRPr="005C00C4" w:rsidTr="00476A61">
        <w:tc>
          <w:tcPr>
            <w:tcW w:w="1559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Результаты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Обученность</w:t>
            </w:r>
            <w:proofErr w:type="spellEnd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Качество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Уровень </w:t>
            </w:r>
            <w:proofErr w:type="spellStart"/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обученности</w:t>
            </w:r>
            <w:proofErr w:type="spellEnd"/>
          </w:p>
        </w:tc>
      </w:tr>
      <w:tr w:rsidR="005C00C4" w:rsidRPr="005C00C4" w:rsidTr="00476A61">
        <w:tc>
          <w:tcPr>
            <w:tcW w:w="1559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Бирюкова Л.В.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proofErr w:type="spellStart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Лиманова</w:t>
            </w:r>
            <w:proofErr w:type="spellEnd"/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Н.Н.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10а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«4»-5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«3»-6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57,89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26,32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Критический</w:t>
            </w:r>
          </w:p>
        </w:tc>
      </w:tr>
      <w:tr w:rsidR="005C00C4" w:rsidRPr="005C00C4" w:rsidTr="00476A61">
        <w:tc>
          <w:tcPr>
            <w:tcW w:w="1559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Скобля Т.А.</w:t>
            </w:r>
          </w:p>
        </w:tc>
        <w:tc>
          <w:tcPr>
            <w:tcW w:w="851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10б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21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«4»-3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«3»-6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52,94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17,65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Критический</w:t>
            </w:r>
          </w:p>
        </w:tc>
      </w:tr>
      <w:tr w:rsidR="005C00C4" w:rsidRPr="005C00C4" w:rsidTr="00476A61">
        <w:tc>
          <w:tcPr>
            <w:tcW w:w="2410" w:type="dxa"/>
            <w:gridSpan w:val="2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 xml:space="preserve">По параллели </w:t>
            </w:r>
          </w:p>
        </w:tc>
        <w:tc>
          <w:tcPr>
            <w:tcW w:w="850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41</w:t>
            </w:r>
          </w:p>
        </w:tc>
        <w:tc>
          <w:tcPr>
            <w:tcW w:w="9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«5»-0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«4»-8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«3»-12</w:t>
            </w:r>
          </w:p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«2»-16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55,55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kern w:val="0"/>
                <w:lang w:eastAsia="en-US" w:bidi="ar-SA"/>
              </w:rPr>
              <w:t>22,22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C4" w:rsidRPr="005C00C4" w:rsidRDefault="005C00C4" w:rsidP="005C00C4">
            <w:pPr>
              <w:widowControl/>
              <w:suppressAutoHyphens w:val="0"/>
              <w:autoSpaceDN/>
              <w:ind w:left="142"/>
              <w:jc w:val="both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kern w:val="0"/>
                <w:lang w:eastAsia="en-US" w:bidi="ar-SA"/>
              </w:rPr>
              <w:t>Критический</w:t>
            </w:r>
          </w:p>
        </w:tc>
      </w:tr>
    </w:tbl>
    <w:p w:rsidR="005C00C4" w:rsidRPr="005C00C4" w:rsidRDefault="005C00C4" w:rsidP="005C00C4">
      <w:pPr>
        <w:widowControl/>
        <w:suppressAutoHyphens w:val="0"/>
        <w:autoSpaceDN/>
        <w:ind w:left="142"/>
        <w:jc w:val="right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Style w:val="2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392"/>
        <w:gridCol w:w="2714"/>
        <w:gridCol w:w="3118"/>
        <w:gridCol w:w="2835"/>
      </w:tblGrid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lastRenderedPageBreak/>
              <w:t>Класс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 xml:space="preserve">Средний балл по классу октябрь 2018 </w:t>
            </w:r>
          </w:p>
        </w:tc>
        <w:tc>
          <w:tcPr>
            <w:tcW w:w="3118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муниципалитету октябрь 2018</w:t>
            </w:r>
          </w:p>
        </w:tc>
        <w:tc>
          <w:tcPr>
            <w:tcW w:w="2835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Средний балл по региону октябрь 2018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10а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16,68</w:t>
            </w:r>
          </w:p>
        </w:tc>
        <w:tc>
          <w:tcPr>
            <w:tcW w:w="3118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14,31</w:t>
            </w:r>
          </w:p>
        </w:tc>
        <w:tc>
          <w:tcPr>
            <w:tcW w:w="2835" w:type="dxa"/>
            <w:vMerge w:val="restart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17,20</w:t>
            </w:r>
          </w:p>
        </w:tc>
      </w:tr>
      <w:tr w:rsidR="005C00C4" w:rsidRPr="005C00C4" w:rsidTr="00476A61">
        <w:tc>
          <w:tcPr>
            <w:tcW w:w="1392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10б</w:t>
            </w:r>
          </w:p>
        </w:tc>
        <w:tc>
          <w:tcPr>
            <w:tcW w:w="2714" w:type="dxa"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C00C4">
              <w:rPr>
                <w:rFonts w:eastAsia="Times New Roman" w:cs="Times New Roman"/>
                <w:bCs/>
                <w:kern w:val="0"/>
                <w:lang w:eastAsia="en-US" w:bidi="ar-SA"/>
              </w:rPr>
              <w:t>14,82</w:t>
            </w:r>
          </w:p>
        </w:tc>
        <w:tc>
          <w:tcPr>
            <w:tcW w:w="3118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5C00C4" w:rsidRPr="005C00C4" w:rsidRDefault="005C00C4" w:rsidP="005C00C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5C00C4" w:rsidRPr="005C00C4" w:rsidRDefault="005C00C4" w:rsidP="005C00C4">
      <w:pPr>
        <w:autoSpaceDN/>
        <w:spacing w:line="100" w:lineRule="atLeast"/>
        <w:jc w:val="both"/>
        <w:rPr>
          <w:rFonts w:eastAsia="Andale Sans UI" w:cs="Tahoma"/>
          <w:color w:val="00000A"/>
          <w:kern w:val="0"/>
          <w:lang w:eastAsia="ja-JP" w:bidi="fa-IR"/>
        </w:rPr>
      </w:pPr>
      <w:r w:rsidRPr="005C00C4">
        <w:rPr>
          <w:rFonts w:eastAsia="Andale Sans UI" w:cs="Tahoma"/>
          <w:color w:val="00000A"/>
          <w:kern w:val="0"/>
          <w:lang w:val="de-DE" w:eastAsia="ja-JP" w:bidi="fa-IR"/>
        </w:rPr>
        <w:tab/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Данные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таблицы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показывают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что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 xml:space="preserve">в 10-х классах критический уровень </w:t>
      </w:r>
      <w:proofErr w:type="spellStart"/>
      <w:r w:rsidRPr="005C00C4">
        <w:rPr>
          <w:rFonts w:eastAsia="Andale Sans UI" w:cs="Tahoma"/>
          <w:color w:val="00000A"/>
          <w:kern w:val="0"/>
          <w:lang w:eastAsia="ja-JP" w:bidi="fa-IR"/>
        </w:rPr>
        <w:t>обученности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, 42 и 47 % в 10а и 10б соответственно выполнили работу на «2», несмотря на это с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редний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результат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класс</w:t>
      </w:r>
      <w:proofErr w:type="spellEnd"/>
      <w:r w:rsidRPr="005C00C4">
        <w:rPr>
          <w:rFonts w:eastAsia="Andale Sans UI" w:cs="Tahoma"/>
          <w:color w:val="00000A"/>
          <w:kern w:val="0"/>
          <w:lang w:eastAsia="ja-JP" w:bidi="fa-IR"/>
        </w:rPr>
        <w:t>у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в 10</w:t>
      </w:r>
      <w:r w:rsidRPr="005C00C4">
        <w:rPr>
          <w:rFonts w:eastAsia="Andale Sans UI" w:cs="Tahoma"/>
          <w:color w:val="00000A"/>
          <w:kern w:val="0"/>
          <w:lang w:eastAsia="ja-JP" w:bidi="fa-IR"/>
        </w:rPr>
        <w:t>а и 10</w:t>
      </w:r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б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превышает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муниципальный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,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ниже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чем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по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 </w:t>
      </w:r>
      <w:proofErr w:type="spellStart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>региону</w:t>
      </w:r>
      <w:proofErr w:type="spellEnd"/>
      <w:r w:rsidRPr="005C00C4">
        <w:rPr>
          <w:rFonts w:eastAsia="Andale Sans UI" w:cs="Tahoma"/>
          <w:color w:val="00000A"/>
          <w:kern w:val="0"/>
          <w:lang w:val="de-DE" w:eastAsia="ja-JP" w:bidi="fa-IR"/>
        </w:rPr>
        <w:t xml:space="preserve">. </w:t>
      </w:r>
    </w:p>
    <w:p w:rsidR="00A7412F" w:rsidRDefault="00A7412F" w:rsidP="00A741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7412F" w:rsidRDefault="00A7412F" w:rsidP="00A7412F">
      <w:pPr>
        <w:pStyle w:val="Textbodyindent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Рекомендации:</w:t>
      </w:r>
    </w:p>
    <w:p w:rsidR="005C00C4" w:rsidRDefault="00A7412F" w:rsidP="005C00C4">
      <w:pPr>
        <w:pStyle w:val="Textbodyindent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 xml:space="preserve">1.Анализ данных проведенного мониторинга позволил определить уровень усвоения обучающимися изученных тем по математике и русскому языку, выделить наиболее трудные для большинства учащихся элементы учебного материала. Обозначил проблемные зоны в подходах к преподаванию математики и русского языка. </w:t>
      </w:r>
      <w:r w:rsidR="005C00C4">
        <w:rPr>
          <w:color w:val="000000"/>
        </w:rPr>
        <w:t>Выявил необходимость</w:t>
      </w:r>
      <w:r>
        <w:rPr>
          <w:color w:val="000000"/>
        </w:rPr>
        <w:t xml:space="preserve"> использования </w:t>
      </w:r>
      <w:r w:rsidR="005C00C4">
        <w:rPr>
          <w:color w:val="000000"/>
        </w:rPr>
        <w:t>более эффективных приемов</w:t>
      </w:r>
      <w:r>
        <w:rPr>
          <w:color w:val="000000"/>
        </w:rPr>
        <w:t xml:space="preserve"> и методов обучения, инновационных технологий, позволяющих улучшить качество усвоения программного материала с целью повыше</w:t>
      </w:r>
      <w:r w:rsidR="005C00C4">
        <w:rPr>
          <w:color w:val="000000"/>
        </w:rPr>
        <w:t xml:space="preserve">ния уровня </w:t>
      </w:r>
      <w:proofErr w:type="spellStart"/>
      <w:r w:rsidR="005C00C4">
        <w:rPr>
          <w:color w:val="000000"/>
        </w:rPr>
        <w:t>обученности</w:t>
      </w:r>
      <w:proofErr w:type="spellEnd"/>
      <w:r w:rsidR="005C00C4">
        <w:rPr>
          <w:color w:val="000000"/>
        </w:rPr>
        <w:t xml:space="preserve"> учащихся.</w:t>
      </w:r>
    </w:p>
    <w:p w:rsidR="00A7412F" w:rsidRDefault="00A7412F" w:rsidP="005C00C4">
      <w:pPr>
        <w:pStyle w:val="Textbodyindent"/>
        <w:tabs>
          <w:tab w:val="left" w:pos="0"/>
        </w:tabs>
        <w:ind w:left="0"/>
        <w:jc w:val="both"/>
      </w:pPr>
      <w:r>
        <w:rPr>
          <w:color w:val="000000"/>
        </w:rPr>
        <w:t xml:space="preserve">1. </w:t>
      </w:r>
      <w:r>
        <w:t xml:space="preserve">Учителям — </w:t>
      </w:r>
      <w:r w:rsidR="005C00C4">
        <w:t>предметникам продолжить</w:t>
      </w:r>
      <w:r>
        <w:t xml:space="preserve"> работу над устранением ошибок и недочетов, допущенных учащимися при выполнении диагностических контрольных работ.</w:t>
      </w:r>
    </w:p>
    <w:p w:rsidR="00A7412F" w:rsidRDefault="00A7412F" w:rsidP="005C00C4">
      <w:pPr>
        <w:pStyle w:val="Textbodyindent"/>
        <w:tabs>
          <w:tab w:val="left" w:pos="0"/>
        </w:tabs>
        <w:ind w:left="0"/>
        <w:jc w:val="both"/>
      </w:pPr>
      <w:r>
        <w:t xml:space="preserve">2. Провести </w:t>
      </w:r>
      <w:r w:rsidR="005C00C4">
        <w:t>анализ и</w:t>
      </w:r>
      <w:r>
        <w:t xml:space="preserve"> работу </w:t>
      </w:r>
      <w:r w:rsidR="005C00C4">
        <w:t>над ошибками</w:t>
      </w:r>
      <w:r>
        <w:t xml:space="preserve"> во всех классах и организовать повторение материала, вызвавшего затруднения у многих обучающихся.</w:t>
      </w:r>
    </w:p>
    <w:p w:rsidR="00A7412F" w:rsidRDefault="00A7412F" w:rsidP="005C00C4">
      <w:pPr>
        <w:pStyle w:val="Textbodyindent"/>
        <w:tabs>
          <w:tab w:val="left" w:pos="0"/>
        </w:tabs>
        <w:ind w:left="0"/>
        <w:jc w:val="both"/>
      </w:pPr>
      <w:r>
        <w:t>3. Спланировать работу с обучающимися показавшими низкие результаты качества знаний в рамках внеурочной деятельности, через консультации.</w:t>
      </w:r>
    </w:p>
    <w:p w:rsidR="00A7412F" w:rsidRDefault="00A7412F" w:rsidP="005C00C4">
      <w:pPr>
        <w:pStyle w:val="Textbodyindent"/>
        <w:tabs>
          <w:tab w:val="left" w:pos="0"/>
        </w:tabs>
        <w:ind w:left="0"/>
        <w:jc w:val="both"/>
      </w:pPr>
      <w:r>
        <w:t>4.Рассмотреть результаты ДКР на совещании при директоре, заседании школьного методического объединения учителей — предметников.</w:t>
      </w:r>
    </w:p>
    <w:p w:rsidR="00A7412F" w:rsidRDefault="00A7412F" w:rsidP="005C00C4">
      <w:pPr>
        <w:pStyle w:val="Textbodyindent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 xml:space="preserve">5. По итогам коррекционных мероприятий провести повторную проверку качества знаний </w:t>
      </w:r>
      <w:bookmarkStart w:id="0" w:name="_GoBack"/>
      <w:bookmarkEnd w:id="0"/>
      <w:r w:rsidR="005C00C4">
        <w:rPr>
          <w:color w:val="000000"/>
        </w:rPr>
        <w:t>по темам,</w:t>
      </w:r>
      <w:r>
        <w:rPr>
          <w:color w:val="000000"/>
        </w:rPr>
        <w:t xml:space="preserve"> вызвавшим наибольшие затруднения, включив их в текущие контрольные работы.</w:t>
      </w:r>
    </w:p>
    <w:p w:rsidR="00D03359" w:rsidRDefault="00D03359" w:rsidP="005C00C4">
      <w:pPr>
        <w:jc w:val="both"/>
      </w:pPr>
    </w:p>
    <w:sectPr w:rsidR="00D03359" w:rsidSect="005C00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3CD"/>
    <w:multiLevelType w:val="multilevel"/>
    <w:tmpl w:val="EE1E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7A"/>
    <w:rsid w:val="00481E2E"/>
    <w:rsid w:val="005C00C4"/>
    <w:rsid w:val="00A7412F"/>
    <w:rsid w:val="00CD7673"/>
    <w:rsid w:val="00D03359"/>
    <w:rsid w:val="00D5797A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72B"/>
  <w15:chartTrackingRefBased/>
  <w15:docId w15:val="{7B41798A-A78A-4A84-AAAA-A5C1FEA2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412F"/>
    <w:pPr>
      <w:suppressLineNumbers/>
    </w:pPr>
  </w:style>
  <w:style w:type="paragraph" w:customStyle="1" w:styleId="Textbodyindent">
    <w:name w:val="Text body indent"/>
    <w:basedOn w:val="Standard"/>
    <w:rsid w:val="00A7412F"/>
    <w:pPr>
      <w:spacing w:after="120"/>
      <w:ind w:left="283"/>
    </w:pPr>
  </w:style>
  <w:style w:type="paragraph" w:styleId="a3">
    <w:name w:val="Normal (Web)"/>
    <w:basedOn w:val="a"/>
    <w:uiPriority w:val="99"/>
    <w:semiHidden/>
    <w:unhideWhenUsed/>
    <w:rsid w:val="00481E2E"/>
    <w:rPr>
      <w:rFonts w:cs="Mangal"/>
      <w:szCs w:val="21"/>
    </w:rPr>
  </w:style>
  <w:style w:type="table" w:customStyle="1" w:styleId="1">
    <w:name w:val="Сетка таблицы1"/>
    <w:basedOn w:val="a1"/>
    <w:next w:val="a4"/>
    <w:uiPriority w:val="39"/>
    <w:rsid w:val="005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2018-11-27T04:46:00Z</dcterms:created>
  <dcterms:modified xsi:type="dcterms:W3CDTF">2018-11-27T06:49:00Z</dcterms:modified>
</cp:coreProperties>
</file>